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1D1963" w:rsidRDefault="00F92268" w:rsidP="00850792">
      <w:pPr>
        <w:pStyle w:val="BodyText"/>
        <w:rPr>
          <w:sz w:val="6"/>
          <w:szCs w:val="6"/>
        </w:rPr>
      </w:pPr>
      <w:r w:rsidRPr="001D1963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1D1963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D1963" w:rsidRDefault="00F92268" w:rsidP="00F246C7">
            <w:pPr>
              <w:pStyle w:val="RefTableData"/>
            </w:pPr>
            <w:r w:rsidRPr="001D1963">
              <w:t>Reference number(s)</w:t>
            </w:r>
          </w:p>
        </w:tc>
      </w:tr>
      <w:tr w:rsidR="00AA2F72" w:rsidRPr="001D1963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B09DAFC" w:rsidR="00AA2F72" w:rsidRPr="001D1963" w:rsidRDefault="00AA2F72" w:rsidP="00AA2F72">
            <w:pPr>
              <w:pStyle w:val="TableDataUnpadded"/>
              <w:rPr>
                <w:sz w:val="16"/>
                <w:szCs w:val="16"/>
              </w:rPr>
            </w:pPr>
            <w:r w:rsidRPr="001D1963">
              <w:rPr>
                <w:sz w:val="16"/>
                <w:szCs w:val="16"/>
              </w:rPr>
              <w:t>1842-A</w:t>
            </w:r>
          </w:p>
        </w:tc>
      </w:tr>
    </w:tbl>
    <w:p w14:paraId="2B5FDDD1" w14:textId="77777777" w:rsidR="00F673DB" w:rsidRPr="001D1963" w:rsidRDefault="00F673DB" w:rsidP="00F673DB">
      <w:pPr>
        <w:sectPr w:rsidR="00F673DB" w:rsidRPr="001D1963" w:rsidSect="00CC170C">
          <w:footerReference w:type="default" r:id="rId12"/>
          <w:footerReference w:type="first" r:id="rId13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FBD130D" w:rsidR="004B15BB" w:rsidRPr="001D1963" w:rsidRDefault="00AA2F72" w:rsidP="00AA2F72">
      <w:pPr>
        <w:pStyle w:val="Heading1"/>
      </w:pPr>
      <w:r w:rsidRPr="001D1963">
        <w:t>Specialty Guideline Management</w:t>
      </w:r>
      <w:r w:rsidR="008C54D9" w:rsidRPr="001D1963">
        <w:br/>
      </w:r>
      <w:r w:rsidR="00D739F7">
        <w:t>fingolimod-</w:t>
      </w:r>
      <w:proofErr w:type="spellStart"/>
      <w:r w:rsidR="00D739F7">
        <w:t>Gilenya</w:t>
      </w:r>
      <w:proofErr w:type="spellEnd"/>
      <w:r w:rsidR="00D739F7">
        <w:t>-</w:t>
      </w:r>
      <w:proofErr w:type="spellStart"/>
      <w:r w:rsidR="00D739F7">
        <w:t>Tascenso</w:t>
      </w:r>
      <w:proofErr w:type="spellEnd"/>
      <w:r w:rsidR="008918A5">
        <w:t xml:space="preserve"> ODT</w:t>
      </w:r>
    </w:p>
    <w:p w14:paraId="78861C92" w14:textId="2E6BA013" w:rsidR="00203468" w:rsidRPr="001D1963" w:rsidRDefault="00C64534" w:rsidP="008E0F0D">
      <w:pPr>
        <w:pStyle w:val="Heading2"/>
      </w:pPr>
      <w:r w:rsidRPr="001D1963">
        <w:t xml:space="preserve">Products Referenced by this </w:t>
      </w:r>
      <w:r w:rsidR="00501602" w:rsidRPr="001D1963">
        <w:t>Document</w:t>
      </w:r>
    </w:p>
    <w:p w14:paraId="5455152B" w14:textId="2FD751F3" w:rsidR="008E0F0D" w:rsidRPr="001D1963" w:rsidRDefault="00D82D85" w:rsidP="008B73E8">
      <w:pPr>
        <w:pStyle w:val="BodyText"/>
      </w:pPr>
      <w:r w:rsidRPr="001D1963">
        <w:t xml:space="preserve">Drugs that are listed in the </w:t>
      </w:r>
      <w:r w:rsidR="000315F1" w:rsidRPr="001D1963">
        <w:t>following table</w:t>
      </w:r>
      <w:r w:rsidRPr="001D1963">
        <w:t xml:space="preserve"> include both brand and generic and all dosage forms and strengths unless otherwise stated. </w:t>
      </w:r>
      <w:r w:rsidR="00F60B0A">
        <w:t>Over</w:t>
      </w:r>
      <w:r w:rsidR="008918A5">
        <w:t>-</w:t>
      </w:r>
      <w:r w:rsidR="00F60B0A">
        <w:t>the</w:t>
      </w:r>
      <w:r w:rsidR="008918A5">
        <w:t>-</w:t>
      </w:r>
      <w:r w:rsidR="00F60B0A">
        <w:t>counter (</w:t>
      </w:r>
      <w:r w:rsidRPr="001D1963">
        <w:t>OTC</w:t>
      </w:r>
      <w:r w:rsidR="00F60B0A">
        <w:t>)</w:t>
      </w:r>
      <w:r w:rsidRPr="001D1963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1D1963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1D1963" w:rsidRDefault="00252CE1" w:rsidP="00AA1E6A">
            <w:pPr>
              <w:pStyle w:val="TableHeader"/>
            </w:pPr>
            <w:bookmarkStart w:id="0" w:name="_Hlk159603270"/>
            <w:r w:rsidRPr="001D1963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1D1963" w:rsidRDefault="00252CE1" w:rsidP="00AA1E6A">
            <w:pPr>
              <w:pStyle w:val="TableHeader"/>
            </w:pPr>
            <w:r w:rsidRPr="001D1963">
              <w:t>Generic Name</w:t>
            </w:r>
          </w:p>
        </w:tc>
      </w:tr>
      <w:tr w:rsidR="00585FFF" w:rsidRPr="001D1963" w14:paraId="2AD5C02D" w14:textId="77777777" w:rsidTr="000C5A6F">
        <w:trPr>
          <w:cantSplit/>
        </w:trPr>
        <w:tc>
          <w:tcPr>
            <w:tcW w:w="5265" w:type="dxa"/>
          </w:tcPr>
          <w:p w14:paraId="2D8FA8E3" w14:textId="2D3CFDE3" w:rsidR="00585FFF" w:rsidRPr="001D1963" w:rsidRDefault="00AA2F72" w:rsidP="00E82ABA">
            <w:pPr>
              <w:pStyle w:val="TableDataUnpadded"/>
            </w:pPr>
            <w:r w:rsidRPr="001D1963">
              <w:t>Gilenya</w:t>
            </w:r>
          </w:p>
        </w:tc>
        <w:tc>
          <w:tcPr>
            <w:tcW w:w="5595" w:type="dxa"/>
          </w:tcPr>
          <w:p w14:paraId="7E26A004" w14:textId="4F9964A4" w:rsidR="00585FFF" w:rsidRPr="001D1963" w:rsidRDefault="00AA2F72" w:rsidP="00E82ABA">
            <w:pPr>
              <w:pStyle w:val="TableDataUnpadded"/>
            </w:pPr>
            <w:r w:rsidRPr="001D1963">
              <w:t>fingolimod hydrochloride</w:t>
            </w:r>
          </w:p>
        </w:tc>
      </w:tr>
      <w:tr w:rsidR="00D21D0C" w:rsidRPr="001D1963" w14:paraId="79C2A122" w14:textId="77777777" w:rsidTr="000C5A6F">
        <w:trPr>
          <w:cantSplit/>
        </w:trPr>
        <w:tc>
          <w:tcPr>
            <w:tcW w:w="5265" w:type="dxa"/>
          </w:tcPr>
          <w:p w14:paraId="08001603" w14:textId="5BF56691" w:rsidR="00D21D0C" w:rsidRPr="001D1963" w:rsidRDefault="00AA2F72" w:rsidP="00E82ABA">
            <w:pPr>
              <w:pStyle w:val="TableDataUnpadded"/>
            </w:pPr>
            <w:proofErr w:type="spellStart"/>
            <w:r w:rsidRPr="001D1963">
              <w:t>Tascenso</w:t>
            </w:r>
            <w:proofErr w:type="spellEnd"/>
            <w:r w:rsidRPr="001D1963">
              <w:t xml:space="preserve"> ODT</w:t>
            </w:r>
          </w:p>
        </w:tc>
        <w:tc>
          <w:tcPr>
            <w:tcW w:w="5595" w:type="dxa"/>
          </w:tcPr>
          <w:p w14:paraId="26C54A5D" w14:textId="52F666D4" w:rsidR="00D21D0C" w:rsidRPr="001D1963" w:rsidRDefault="00AA2F72" w:rsidP="00E82ABA">
            <w:pPr>
              <w:pStyle w:val="TableDataUnpadded"/>
            </w:pPr>
            <w:r w:rsidRPr="001D1963">
              <w:t>fingolimod lauryl sulfate</w:t>
            </w:r>
          </w:p>
        </w:tc>
      </w:tr>
    </w:tbl>
    <w:bookmarkEnd w:id="0"/>
    <w:p w14:paraId="14CE6108" w14:textId="2BD3CF7B" w:rsidR="00FC1AAD" w:rsidRPr="001D1963" w:rsidRDefault="00ED052F" w:rsidP="00AA2A94">
      <w:pPr>
        <w:pStyle w:val="Heading2"/>
        <w:tabs>
          <w:tab w:val="left" w:pos="9540"/>
        </w:tabs>
      </w:pPr>
      <w:r w:rsidRPr="001D1963">
        <w:t>Indications</w:t>
      </w:r>
    </w:p>
    <w:p w14:paraId="2CF51567" w14:textId="3444D669" w:rsidR="00AA2F72" w:rsidRPr="001D1963" w:rsidRDefault="00AA2F72" w:rsidP="00AA2F72">
      <w:pPr>
        <w:pStyle w:val="BodyText"/>
      </w:pPr>
      <w:r w:rsidRPr="001D196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13D786B" w:rsidR="00ED052F" w:rsidRPr="001D1963" w:rsidRDefault="00ED052F" w:rsidP="00ED052F">
      <w:pPr>
        <w:pStyle w:val="Heading3"/>
        <w:keepNext w:val="0"/>
      </w:pPr>
      <w:r w:rsidRPr="001D1963">
        <w:t>FDA-</w:t>
      </w:r>
      <w:r w:rsidR="005212E3">
        <w:t>A</w:t>
      </w:r>
      <w:r w:rsidRPr="001D1963">
        <w:t>pproved Indications</w:t>
      </w:r>
      <w:r w:rsidR="00AA2F72" w:rsidRPr="001D1963">
        <w:rPr>
          <w:vertAlign w:val="superscript"/>
        </w:rPr>
        <w:t>1-3</w:t>
      </w:r>
    </w:p>
    <w:p w14:paraId="2EB3C73B" w14:textId="4996E368" w:rsidR="00AA2F72" w:rsidRPr="001D1963" w:rsidRDefault="00AA2F72" w:rsidP="00AA2F72">
      <w:pPr>
        <w:pStyle w:val="BodyText"/>
      </w:pPr>
      <w:r w:rsidRPr="001D1963">
        <w:t>Indicated for the treatment of relapsing forms of multiple sclerosis (MS), to include clinically isolated syndrome, relapsing-remitting disease, and active secondary progressive disease, in patients 10 years of age and older.</w:t>
      </w:r>
    </w:p>
    <w:p w14:paraId="4C434745" w14:textId="41EEF947" w:rsidR="00ED052F" w:rsidRPr="001D1963" w:rsidRDefault="00AA2F72" w:rsidP="00AA2F72">
      <w:pPr>
        <w:pStyle w:val="BodyText"/>
      </w:pPr>
      <w:r w:rsidRPr="001D1963">
        <w:t>All other indications are considered experimental/investigational and not medically necessary</w:t>
      </w:r>
      <w:r w:rsidR="00ED052F" w:rsidRPr="001D1963">
        <w:t>.</w:t>
      </w:r>
    </w:p>
    <w:p w14:paraId="4A5B15F8" w14:textId="4A734AC2" w:rsidR="00006174" w:rsidRPr="001D1963" w:rsidRDefault="00006174" w:rsidP="00006174">
      <w:pPr>
        <w:pStyle w:val="Heading2"/>
      </w:pPr>
      <w:r w:rsidRPr="001D1963">
        <w:t>Prescriber Specialties</w:t>
      </w:r>
    </w:p>
    <w:p w14:paraId="46345160" w14:textId="77777777" w:rsidR="00AA2F72" w:rsidRPr="001D1963" w:rsidRDefault="00AA2F72" w:rsidP="00AA2F72">
      <w:pPr>
        <w:pStyle w:val="BodyText"/>
      </w:pPr>
      <w:bookmarkStart w:id="1" w:name="OLE_LINK5"/>
      <w:bookmarkStart w:id="2" w:name="OLE_LINK2"/>
      <w:r w:rsidRPr="001D1963">
        <w:t>This medication must be prescribed by or in consultation with a neurologist.</w:t>
      </w:r>
      <w:bookmarkEnd w:id="1"/>
      <w:bookmarkEnd w:id="2"/>
    </w:p>
    <w:p w14:paraId="50A38FBA" w14:textId="175E2287" w:rsidR="00FE0C63" w:rsidRPr="001D1963" w:rsidRDefault="00685107" w:rsidP="00AA2F72">
      <w:pPr>
        <w:pStyle w:val="Heading2"/>
        <w:tabs>
          <w:tab w:val="left" w:pos="9465"/>
        </w:tabs>
      </w:pPr>
      <w:r w:rsidRPr="001D1963">
        <w:lastRenderedPageBreak/>
        <w:t>Coverage Criteria</w:t>
      </w:r>
    </w:p>
    <w:p w14:paraId="48ADBFB8" w14:textId="09AF9B18" w:rsidR="00AA2F72" w:rsidRPr="001D1963" w:rsidRDefault="00AA2F72" w:rsidP="00AA2F72">
      <w:pPr>
        <w:pStyle w:val="Heading3"/>
        <w:rPr>
          <w:vertAlign w:val="superscript"/>
        </w:rPr>
      </w:pPr>
      <w:r w:rsidRPr="001D1963">
        <w:t xml:space="preserve">Relapsing </w:t>
      </w:r>
      <w:r w:rsidR="005212E3" w:rsidRPr="001D1963">
        <w:t xml:space="preserve">Forms </w:t>
      </w:r>
      <w:r w:rsidR="005212E3">
        <w:t>o</w:t>
      </w:r>
      <w:r w:rsidR="005212E3" w:rsidRPr="001D1963">
        <w:t>f Multiple Sclerosis</w:t>
      </w:r>
      <w:r w:rsidR="005212E3" w:rsidRPr="001D1963">
        <w:rPr>
          <w:vertAlign w:val="superscript"/>
        </w:rPr>
        <w:t>1</w:t>
      </w:r>
      <w:r w:rsidRPr="001D1963">
        <w:rPr>
          <w:vertAlign w:val="superscript"/>
        </w:rPr>
        <w:t>-3</w:t>
      </w:r>
    </w:p>
    <w:p w14:paraId="7A5C10C1" w14:textId="77777777" w:rsidR="00AA2F72" w:rsidRPr="001D1963" w:rsidRDefault="00AA2F72" w:rsidP="00AA2F72">
      <w:pPr>
        <w:pStyle w:val="BodyText"/>
      </w:pPr>
      <w:r w:rsidRPr="001D1963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5E617D77" w14:textId="1D624C4A" w:rsidR="00AA2F72" w:rsidRPr="001D1963" w:rsidRDefault="00AA2F72" w:rsidP="00AA2F72">
      <w:pPr>
        <w:pStyle w:val="Heading3"/>
        <w:rPr>
          <w:vertAlign w:val="superscript"/>
        </w:rPr>
      </w:pPr>
      <w:r w:rsidRPr="001D1963">
        <w:t xml:space="preserve">Clinically </w:t>
      </w:r>
      <w:r w:rsidR="005212E3" w:rsidRPr="001D1963">
        <w:t>Isolated Syndrome</w:t>
      </w:r>
      <w:r w:rsidR="005212E3" w:rsidRPr="001D1963">
        <w:rPr>
          <w:vertAlign w:val="superscript"/>
        </w:rPr>
        <w:t>1</w:t>
      </w:r>
      <w:r w:rsidRPr="001D1963">
        <w:rPr>
          <w:vertAlign w:val="superscript"/>
        </w:rPr>
        <w:t>-3</w:t>
      </w:r>
    </w:p>
    <w:p w14:paraId="03DC75D5" w14:textId="77777777" w:rsidR="00AA2F72" w:rsidRPr="001D1963" w:rsidRDefault="00AA2F72" w:rsidP="00AA2F72">
      <w:pPr>
        <w:pStyle w:val="BodyText"/>
      </w:pPr>
      <w:r w:rsidRPr="001D1963">
        <w:t>Authorization of 12 months may be granted to members for the treatment of clinically isolated syndrome of multiple sclerosis.</w:t>
      </w:r>
    </w:p>
    <w:p w14:paraId="3A643EC3" w14:textId="009FE9CE" w:rsidR="00A501AC" w:rsidRPr="001D1963" w:rsidRDefault="00A501AC" w:rsidP="00A501AC">
      <w:pPr>
        <w:pStyle w:val="Heading2"/>
      </w:pPr>
      <w:r w:rsidRPr="001D1963">
        <w:t>Continuation of Therapy</w:t>
      </w:r>
    </w:p>
    <w:p w14:paraId="7E7D475F" w14:textId="2870B724" w:rsidR="0057545A" w:rsidRPr="001D1963" w:rsidRDefault="00AA2F72" w:rsidP="00AA2F72">
      <w:pPr>
        <w:pStyle w:val="BodyText"/>
      </w:pPr>
      <w:r w:rsidRPr="001D1963">
        <w:t>For all indications: Authorization of 12 months may be granted to members who are experiencing disease stability or improvement while receiving the requested medication.</w:t>
      </w:r>
    </w:p>
    <w:p w14:paraId="05B6DEFF" w14:textId="31AA8EB9" w:rsidR="008B1332" w:rsidRPr="001D1963" w:rsidRDefault="008B1332" w:rsidP="008B1332">
      <w:pPr>
        <w:pStyle w:val="Heading2"/>
      </w:pPr>
      <w:r w:rsidRPr="001D1963">
        <w:t>Other</w:t>
      </w:r>
    </w:p>
    <w:p w14:paraId="6302DE6A" w14:textId="3B7FFB2A" w:rsidR="00706B11" w:rsidRPr="001D1963" w:rsidRDefault="00AA2F72" w:rsidP="00AA2F72">
      <w:pPr>
        <w:pStyle w:val="BodyText"/>
      </w:pPr>
      <w:r w:rsidRPr="001D1963">
        <w:t>Members will not use the requested medication concomitantly with other disease modifying multiple sclerosis agents (Note: Ampyra and Nuedexta are not disease modifying).</w:t>
      </w:r>
      <w:bookmarkStart w:id="3" w:name="S2.2"/>
      <w:bookmarkStart w:id="4" w:name="section-2.2"/>
      <w:bookmarkStart w:id="5" w:name="section-2.2.1"/>
      <w:bookmarkStart w:id="6" w:name="section-2.2.2"/>
      <w:bookmarkEnd w:id="3"/>
      <w:bookmarkEnd w:id="4"/>
      <w:bookmarkEnd w:id="5"/>
      <w:bookmarkEnd w:id="6"/>
    </w:p>
    <w:p w14:paraId="10DA4309" w14:textId="1B4F9CDF" w:rsidR="00FF66BF" w:rsidRPr="001D1963" w:rsidRDefault="00FF66BF" w:rsidP="00FF66BF">
      <w:pPr>
        <w:pStyle w:val="Heading2"/>
      </w:pPr>
      <w:r w:rsidRPr="001D1963">
        <w:t>References</w:t>
      </w:r>
    </w:p>
    <w:p w14:paraId="10C8E53D" w14:textId="77777777" w:rsidR="00AA2F72" w:rsidRPr="001D1963" w:rsidRDefault="00AA2F72" w:rsidP="005212E3">
      <w:pPr>
        <w:pStyle w:val="ReferenceOrdered"/>
      </w:pPr>
      <w:r w:rsidRPr="001D1963">
        <w:t>Gilenya [package insert]. East Hanover, NJ: Novartis Pharmaceuticals Corporation; August 2023.</w:t>
      </w:r>
    </w:p>
    <w:p w14:paraId="060EFF59" w14:textId="77777777" w:rsidR="00AA2F72" w:rsidRPr="001D1963" w:rsidRDefault="00AA2F72" w:rsidP="005212E3">
      <w:pPr>
        <w:pStyle w:val="ReferenceOrdered"/>
      </w:pPr>
      <w:bookmarkStart w:id="7" w:name="OLE_LINK14"/>
      <w:r w:rsidRPr="001D1963">
        <w:t>F</w:t>
      </w:r>
      <w:bookmarkStart w:id="8" w:name="OLE_LINK8"/>
      <w:r w:rsidRPr="001D1963">
        <w:t>ingolimod</w:t>
      </w:r>
      <w:bookmarkEnd w:id="8"/>
      <w:r w:rsidRPr="001D1963">
        <w:t xml:space="preserve"> [package insert]. Iselin, NJ: Biocon Pharma, Inc.,; </w:t>
      </w:r>
      <w:bookmarkEnd w:id="7"/>
      <w:r w:rsidRPr="001D1963">
        <w:t>February 2024.</w:t>
      </w:r>
    </w:p>
    <w:p w14:paraId="691E01AA" w14:textId="0920315B" w:rsidR="00A04C2D" w:rsidRPr="001D1963" w:rsidRDefault="00AA2F72" w:rsidP="005212E3">
      <w:pPr>
        <w:pStyle w:val="ReferenceOrdered"/>
      </w:pPr>
      <w:bookmarkStart w:id="9" w:name="OLE_LINK11"/>
      <w:proofErr w:type="spellStart"/>
      <w:r w:rsidRPr="001D1963">
        <w:t>Tascenso</w:t>
      </w:r>
      <w:proofErr w:type="spellEnd"/>
      <w:r w:rsidRPr="001D1963">
        <w:t xml:space="preserve"> ODT [package insert]. San Jose, CA: Handa Neuroscience, LLC; August 202</w:t>
      </w:r>
      <w:bookmarkEnd w:id="9"/>
      <w:r w:rsidR="006F5864" w:rsidRPr="001D1963">
        <w:t>3</w:t>
      </w:r>
      <w:r w:rsidR="00F673DB" w:rsidRPr="001D1963">
        <w:t>.</w:t>
      </w:r>
    </w:p>
    <w:sectPr w:rsidR="00A04C2D" w:rsidRPr="001D1963" w:rsidSect="00CC170C">
      <w:footerReference w:type="first" r:id="rId14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77B0" w14:textId="77777777" w:rsidR="00D600D8" w:rsidRDefault="00D600D8">
      <w:r>
        <w:separator/>
      </w:r>
    </w:p>
  </w:endnote>
  <w:endnote w:type="continuationSeparator" w:id="0">
    <w:p w14:paraId="4BCA38F6" w14:textId="77777777" w:rsidR="00D600D8" w:rsidRDefault="00D600D8">
      <w:r>
        <w:continuationSeparator/>
      </w:r>
    </w:p>
  </w:endnote>
  <w:endnote w:type="continuationNotice" w:id="1">
    <w:p w14:paraId="75745301" w14:textId="77777777" w:rsidR="00D600D8" w:rsidRDefault="00D600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7848" w14:textId="3EE5B413" w:rsidR="00F673DB" w:rsidRPr="00EC47B6" w:rsidRDefault="00F673DB" w:rsidP="00F673D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C82EA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E5D55" w:rsidRPr="00AE5D55">
      <w:rPr>
        <w:rFonts w:cs="Arial"/>
        <w:noProof/>
        <w:sz w:val="16"/>
        <w:szCs w:val="16"/>
        <w:lang w:val="pt-BR"/>
      </w:rPr>
      <w:t>fingolimod-Gilenya-Tascenso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 xml:space="preserve"> ODT </w:t>
    </w:r>
    <w:r w:rsidR="00AE5D55" w:rsidRPr="00AE5D55">
      <w:rPr>
        <w:rFonts w:cs="Arial"/>
        <w:noProof/>
        <w:sz w:val="16"/>
        <w:szCs w:val="16"/>
        <w:lang w:val="pt-BR"/>
      </w:rPr>
      <w:t>SGM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 xml:space="preserve"> 1842-A</w:t>
    </w:r>
    <w:r w:rsidR="00AE5D55" w:rsidRPr="00AE5D55">
      <w:rPr>
        <w:rFonts w:cs="Arial"/>
        <w:noProof/>
        <w:sz w:val="16"/>
        <w:szCs w:val="16"/>
        <w:lang w:val="pt-BR"/>
      </w:rPr>
      <w:t xml:space="preserve"> 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C82EA3">
      <w:rPr>
        <w:rFonts w:cs="Arial"/>
        <w:snapToGrid w:val="0"/>
        <w:color w:val="000000"/>
        <w:sz w:val="16"/>
        <w:lang w:val="pt-BR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EB06103" w14:textId="4B64122A" w:rsidR="00F673DB" w:rsidRPr="00EC47B6" w:rsidRDefault="00F673DB" w:rsidP="00F673D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4A04114" w14:textId="790A7EFE" w:rsidR="00F673DB" w:rsidRPr="00F50D98" w:rsidRDefault="00F673DB" w:rsidP="00A4387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B66A" w14:textId="43A0B56E" w:rsidR="00F673DB" w:rsidRPr="00EC47B6" w:rsidRDefault="00F673DB" w:rsidP="00F673D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C82EA3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E5D55" w:rsidRPr="00AE5D55">
      <w:rPr>
        <w:rFonts w:cs="Arial"/>
        <w:noProof/>
        <w:sz w:val="16"/>
        <w:szCs w:val="16"/>
        <w:lang w:val="pt-BR"/>
      </w:rPr>
      <w:t>fingolimod-Gilenya-Tascenso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 xml:space="preserve"> ODT </w:t>
    </w:r>
    <w:r w:rsidR="00AE5D55" w:rsidRPr="00AE5D55">
      <w:rPr>
        <w:rFonts w:cs="Arial"/>
        <w:noProof/>
        <w:sz w:val="16"/>
        <w:szCs w:val="16"/>
        <w:lang w:val="pt-BR"/>
      </w:rPr>
      <w:t>SGM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 xml:space="preserve"> 1842-A</w:t>
    </w:r>
    <w:r w:rsidR="00AE5D55" w:rsidRPr="00AE5D55">
      <w:rPr>
        <w:rFonts w:cs="Arial"/>
        <w:noProof/>
        <w:sz w:val="16"/>
        <w:szCs w:val="16"/>
        <w:lang w:val="pt-BR"/>
      </w:rPr>
      <w:t xml:space="preserve"> </w:t>
    </w:r>
    <w:r w:rsidR="00AE5D55">
      <w:rPr>
        <w:rFonts w:cs="Arial"/>
        <w:noProof/>
        <w:snapToGrid w:val="0"/>
        <w:color w:val="000000"/>
        <w:sz w:val="16"/>
        <w:szCs w:val="16"/>
        <w:lang w:val="pt-BR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C82EA3">
      <w:rPr>
        <w:rFonts w:cs="Arial"/>
        <w:snapToGrid w:val="0"/>
        <w:color w:val="000000"/>
        <w:sz w:val="16"/>
        <w:lang w:val="pt-BR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54B0EA15" w14:textId="22FC7D6A" w:rsidR="00F673DB" w:rsidRPr="00EC47B6" w:rsidRDefault="00F673DB" w:rsidP="00F673D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10D8ECC" w14:textId="7139C86B" w:rsidR="00F673DB" w:rsidRPr="00F50D98" w:rsidRDefault="00F673DB" w:rsidP="00A4387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2AFE" w14:textId="646B05A8" w:rsidR="001B477D" w:rsidRPr="00F50D98" w:rsidRDefault="001B477D" w:rsidP="00F673DB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3931" w14:textId="77777777" w:rsidR="00D600D8" w:rsidRDefault="00D600D8">
      <w:r>
        <w:separator/>
      </w:r>
    </w:p>
  </w:footnote>
  <w:footnote w:type="continuationSeparator" w:id="0">
    <w:p w14:paraId="062839C9" w14:textId="77777777" w:rsidR="00D600D8" w:rsidRDefault="00D600D8">
      <w:r>
        <w:continuationSeparator/>
      </w:r>
    </w:p>
  </w:footnote>
  <w:footnote w:type="continuationNotice" w:id="1">
    <w:p w14:paraId="627CEF03" w14:textId="77777777" w:rsidR="00D600D8" w:rsidRDefault="00D600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C3410"/>
    <w:multiLevelType w:val="hybridMultilevel"/>
    <w:tmpl w:val="CFDA70CC"/>
    <w:lvl w:ilvl="0" w:tplc="B7E6A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A3676C"/>
    <w:multiLevelType w:val="hybridMultilevel"/>
    <w:tmpl w:val="39225A30"/>
    <w:lvl w:ilvl="0" w:tplc="7E88C460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120686814">
    <w:abstractNumId w:val="26"/>
  </w:num>
  <w:num w:numId="29" w16cid:durableId="1996688989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BC5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2BEC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35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173E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77D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1963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117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2A6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217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5F6D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C3C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8C8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2E3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81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174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864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667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A5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C2D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74A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387F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2F72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5C2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EB8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5D55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2EA3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70C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1CE6"/>
    <w:rsid w:val="00CD3C27"/>
    <w:rsid w:val="00CD4084"/>
    <w:rsid w:val="00CD59BF"/>
    <w:rsid w:val="00CD6E3C"/>
    <w:rsid w:val="00CD74BA"/>
    <w:rsid w:val="00CD79D9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BCE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0D8"/>
    <w:rsid w:val="00D6162B"/>
    <w:rsid w:val="00D630D7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9F7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A44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0B0A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3DB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6E2D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A04C2D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5ECB2-9DDC-4D19-AAF7-E53DFF6262E6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102fadf2-6cae-45bc-95f6-bc2613b98572"/>
    <ds:schemaRef ds:uri="ce173f13-e3a2-4c5f-8c54-d0382ae88016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1911</Characters>
  <Application>Microsoft Office Word</Application>
  <DocSecurity>0</DocSecurity>
  <Lines>38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fingolimod-Gilenya-Tascenso ODT 1842-A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2024-12-31T03:25:00Z</dcterms:created>
  <dcterms:modified xsi:type="dcterms:W3CDTF">2024-12-31T03:25:00Z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1105000</vt:r8>
  </property>
</Properties>
</file>